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Готовое решение: Как урегулировать конфликт интересов на государственной гражданской (муниципальной) службе</w:t>
      </w:r>
    </w:p>
    <w:p>
      <w:pPr>
        <w:pStyle w:val="0"/>
        <w:jc w:val="both"/>
      </w:pPr>
      <w:r>
        <w:rPr>
          <w:sz w:val="20"/>
        </w:rPr>
        <w:t xml:space="preserve">(КонсультантПлюс, 2024)</w:t>
      </w:r>
    </w:p>
    <w:p>
      <w:pPr>
        <w:pStyle w:val="0"/>
      </w:pPr>
      <w:r>
        <w:rPr>
          <w:sz w:val="20"/>
          <w:b w:val="on"/>
        </w:rPr>
        <w:t xml:space="preserve">Дата</w:t>
      </w:r>
    </w:p>
    <w:p>
      <w:pPr>
        <w:pStyle w:val="0"/>
        <w:jc w:val="both"/>
      </w:pPr>
      <w:r>
        <w:rPr>
          <w:sz w:val="20"/>
        </w:rPr>
        <w:t xml:space="preserve">02.05.2024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специалистами АО "Консультант Плюс"</w:t>
      </w:r>
    </w:p>
    <w:p>
      <w:pPr>
        <w:pStyle w:val="0"/>
        <w:jc w:val="both"/>
      </w:pPr>
      <w:r>
        <w:rPr>
          <w:sz w:val="20"/>
        </w:rPr>
        <w:t xml:space="preserve">Как урегулировать конфликт интересов на государственной гражданской (муниципальной) службе // СПС КонсультантПлюс. 2024.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</w:rPr>
              <w:t xml:space="preserve">КонсультантПлюс | Готовое решение | </w:t>
            </w:r>
            <w:r>
              <w:rPr>
                <w:sz w:val="20"/>
                <w:color w:val="392c69"/>
                <w:b w:val="on"/>
              </w:rPr>
              <w:t xml:space="preserve">Актуально на 02.05.2024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Как урегулировать конфликт интересов на государственной гражданской (муниципальной) службе</w:t>
      </w:r>
    </w:p>
    <w:p>
      <w:pPr>
        <w:pStyle w:val="0"/>
        <w:jc w:val="both"/>
      </w:pPr>
      <w:r>
        <w:rPr>
          <w:sz w:val="36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Конфликт интересов возникает, если личные выгоды служащего могут повлиять на исполнение служебных обязанностей.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Не допускать таких ситуаций должен, в первую очередь, сам служащий. Он обязан уведомить представителя нанимателя о каждом таком случае.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Сначала такие уведомления рассматривает отдел по профилактике коррупции (уполномоченное должностное лицо), а после - специально созданная комиссия.</w:t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На основе решения комиссии служащий и представитель нанимателя должны принять меры по разрешению конфликта интересов. В противном случае это может повлечь увольнение (за некоторым исключением) как самого служащего, так и представителя нанимателя.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80" w:line-rule="auto"/>
        <w:jc w:val="both"/>
      </w:pPr>
      <w:r>
        <w:rPr>
          <w:sz w:val="30"/>
        </w:rPr>
      </w:r>
    </w:p>
    <w:p>
      <w:pPr>
        <w:pStyle w:val="0"/>
      </w:pPr>
      <w:r>
        <w:rPr>
          <w:sz w:val="30"/>
          <w:b w:val="on"/>
        </w:rPr>
        <w:t xml:space="preserve">Оглавление:</w:t>
      </w:r>
    </w:p>
    <w:p>
      <w:pPr>
        <w:pStyle w:val="0"/>
        <w:spacing w:before="320" w:line-rule="auto"/>
        <w:ind w:left="180"/>
      </w:pPr>
      <w:r>
        <w:rPr>
          <w:sz w:val="20"/>
        </w:rPr>
        <w:t xml:space="preserve">1. </w:t>
      </w:r>
      <w:r>
        <w:rPr>
          <w:sz w:val="20"/>
        </w:rPr>
        <w:t xml:space="preserve">Что такое конфликт интересов на государственной гражданской (муниципальной) службе</w:t>
      </w:r>
    </w:p>
    <w:p>
      <w:pPr>
        <w:pStyle w:val="0"/>
        <w:ind w:left="180"/>
      </w:pPr>
      <w:r>
        <w:rPr>
          <w:sz w:val="20"/>
        </w:rPr>
        <w:t xml:space="preserve">2. </w:t>
      </w:r>
      <w:r>
        <w:rPr>
          <w:sz w:val="20"/>
        </w:rPr>
        <w:t xml:space="preserve">Как служащий уведомляет о конфликте интересов нанимателя</w:t>
      </w:r>
    </w:p>
    <w:p>
      <w:pPr>
        <w:pStyle w:val="0"/>
        <w:ind w:left="180"/>
      </w:pPr>
      <w:r>
        <w:rPr>
          <w:sz w:val="20"/>
        </w:rPr>
        <w:t xml:space="preserve">3. </w:t>
      </w:r>
      <w:r>
        <w:rPr>
          <w:sz w:val="20"/>
        </w:rPr>
        <w:t xml:space="preserve">Как осуществляется проверка наличия конфликта интересов на государственной гражданской (муниципальной) службе</w:t>
      </w:r>
    </w:p>
    <w:p>
      <w:pPr>
        <w:pStyle w:val="0"/>
        <w:ind w:left="180"/>
      </w:pPr>
      <w:r>
        <w:rPr>
          <w:sz w:val="20"/>
        </w:rPr>
        <w:t xml:space="preserve">4. </w:t>
      </w:r>
      <w:r>
        <w:rPr>
          <w:sz w:val="20"/>
        </w:rPr>
        <w:t xml:space="preserve">Какие меры нужно принять, чтобы урегулировать конфликт интересов</w:t>
      </w:r>
    </w:p>
    <w:p>
      <w:pPr>
        <w:pStyle w:val="0"/>
        <w:spacing w:before="380" w:line-rule="auto"/>
        <w:jc w:val="both"/>
      </w:pPr>
      <w:r>
        <w:rPr>
          <w:sz w:val="30"/>
        </w:rPr>
      </w:r>
    </w:p>
    <w:bookmarkStart w:id="26" w:name="P26"/>
    <w:bookmarkEnd w:id="26"/>
    <w:p>
      <w:pPr>
        <w:pStyle w:val="0"/>
        <w:outlineLvl w:val="0"/>
      </w:pPr>
      <w:r>
        <w:rPr>
          <w:sz w:val="30"/>
          <w:b w:val="on"/>
        </w:rPr>
        <w:t xml:space="preserve">1. Что такое конфликт интересов на государственной гражданской (муниципальной) службе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Конфликт интересов - это ситуация, при которой личная прямая или косвенная заинтересованность служащего влияет или может повлиять на исполнение им должностных (служебных) обязанностей (полномочий). Такое определение приведено в </w:t>
      </w:r>
      <w:r>
        <w:rPr>
          <w:sz w:val="20"/>
        </w:rPr>
        <w:t xml:space="preserve">ч. 1 ст. 10</w:t>
      </w:r>
      <w:r>
        <w:rPr>
          <w:sz w:val="20"/>
        </w:rPr>
        <w:t xml:space="preserve"> Закона о противодействии коррупции.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Личная заинтересованность означает, что доходы, выгоды, преимущества может получать сам служащий, его родственники, друзья (знакомые) или организации, которые как-то связаны с ним. На это указано в </w:t>
      </w:r>
      <w:r>
        <w:rPr>
          <w:sz w:val="20"/>
        </w:rPr>
        <w:t xml:space="preserve">ч. 2 ст. 10</w:t>
      </w:r>
      <w:r>
        <w:rPr>
          <w:sz w:val="20"/>
        </w:rPr>
        <w:t xml:space="preserve"> Закона о противодействии коррупции, </w:t>
      </w:r>
      <w:r>
        <w:rPr>
          <w:sz w:val="20"/>
        </w:rPr>
        <w:t xml:space="preserve">Письме</w:t>
      </w:r>
      <w:r>
        <w:rPr>
          <w:sz w:val="20"/>
        </w:rPr>
        <w:t xml:space="preserve"> Минтруда России от 15.10.2012 N 18-2/10/1-2088.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Более точно определить, какую ситуацию можно отнести к конфликту интересов, вам поможет </w:t>
      </w:r>
      <w:r>
        <w:rPr>
          <w:sz w:val="20"/>
        </w:rPr>
        <w:t xml:space="preserve">Памятка</w:t>
      </w:r>
      <w:r>
        <w:rPr>
          <w:sz w:val="20"/>
        </w:rPr>
        <w:t xml:space="preserve"> Управления делами Президента РФ, а также </w:t>
      </w:r>
      <w:r>
        <w:rPr>
          <w:sz w:val="20"/>
        </w:rPr>
        <w:t xml:space="preserve">Обзоры</w:t>
      </w:r>
      <w:r>
        <w:rPr>
          <w:sz w:val="20"/>
        </w:rPr>
        <w:t xml:space="preserve"> практики правоприменения в сфере конфликта интересов, </w:t>
      </w:r>
      <w:r>
        <w:rPr>
          <w:sz w:val="20"/>
        </w:rPr>
        <w:t xml:space="preserve">Письмо</w:t>
      </w:r>
      <w:r>
        <w:rPr>
          <w:sz w:val="20"/>
        </w:rPr>
        <w:t xml:space="preserve"> Минтруда России от 15.10.2012 N 18-2/10/1-2088.</w:t>
      </w:r>
    </w:p>
    <w:p>
      <w:pPr>
        <w:pStyle w:val="0"/>
        <w:jc w:val="both"/>
      </w:pPr>
      <w:r>
        <w:rPr>
          <w:sz w:val="30"/>
        </w:rPr>
      </w:r>
    </w:p>
    <w:bookmarkStart w:id="31" w:name="P31"/>
    <w:bookmarkEnd w:id="31"/>
    <w:p>
      <w:pPr>
        <w:pStyle w:val="0"/>
        <w:outlineLvl w:val="0"/>
      </w:pPr>
      <w:r>
        <w:rPr>
          <w:sz w:val="30"/>
          <w:b w:val="on"/>
        </w:rPr>
        <w:t xml:space="preserve">2. Как служащий уведомляет о конфликте интересов нанимателя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Служащий обязан уведомить о конфликте интересов, как только ему стало известно об этом (</w:t>
      </w:r>
      <w:r>
        <w:rPr>
          <w:sz w:val="20"/>
        </w:rPr>
        <w:t xml:space="preserve">ч. 2 ст. 11</w:t>
      </w:r>
      <w:r>
        <w:rPr>
          <w:sz w:val="20"/>
        </w:rPr>
        <w:t xml:space="preserve"> Закона о противодействии коррупции).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Для этого он должен подготовить письменное уведомление и подать его представителю нанимателя.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</w:pPr>
      <w:r>
        <w:rPr>
          <w:sz w:val="24"/>
          <w:b w:val="on"/>
        </w:rPr>
        <w:t xml:space="preserve">2.1. Как составить уведомление о конфликте интересов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Заполнить уведомление можно по форме, которая утверждена в вашем органе. Как правило, это приложение к порядку уведомления о конфликте интересов (см., например, </w:t>
      </w:r>
      <w:r>
        <w:rPr>
          <w:sz w:val="20"/>
        </w:rPr>
        <w:t xml:space="preserve">форму</w:t>
      </w:r>
      <w:r>
        <w:rPr>
          <w:sz w:val="20"/>
        </w:rPr>
        <w:t xml:space="preserve">, утвержденную в Минобороны России).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Можно подготовить уведомление в произвольной форме. В нем нужно указать: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Ф.И.О. и должность руководителя госоргана (его заместителя), Ф.И.О. и должность служащего;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ситуацию, которая привела или может привести к конфликту интересов. Какие должностные обязанности служащий не может выполнять из-за этого;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меры, которые может предложить или уже предпринял служащий, например отстранение от выполнения именно этой работы и т.п.;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будет ли служащий присутствовать на заседании комиссии по урегулированию конфликта интересов;</w:t>
      </w:r>
    </w:p>
    <w:p>
      <w:pPr>
        <w:pStyle w:val="0"/>
        <w:spacing w:before="200" w:line-rule="auto"/>
        <w:ind w:firstLine="-300" w:left="540"/>
        <w:jc w:val="both"/>
        <w:numPr>
          <w:ilvl w:val="0"/>
          <w:numId w:val="1"/>
        </w:numPr>
      </w:pPr>
      <w:r>
        <w:rPr>
          <w:sz w:val="20"/>
        </w:rPr>
        <w:t xml:space="preserve">дату и подпись.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 уведомлению прилагаются доказательства изложенной информации.</w:t>
      </w:r>
    </w:p>
    <w:p>
      <w:pPr>
        <w:pStyle w:val="0"/>
        <w:jc w:val="both"/>
      </w:pPr>
      <w:r>
        <w:rPr>
          <w:sz w:val="20"/>
        </w:rPr>
      </w: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45" w:name="P45"/>
          <w:bookmarkEnd w:id="45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Образец уведомления о конфликте интересов</w:t>
            </w:r>
          </w:p>
          <w:p>
            <w:pPr>
              <w:pStyle w:val="0"/>
              <w:spacing w:before="200" w:line-rule="auto"/>
              <w:jc w:val="right"/>
            </w:pPr>
            <w:r>
              <w:rPr>
                <w:sz w:val="20"/>
              </w:rPr>
              <w:t xml:space="preserve">Министру имущественных отношений</w:t>
            </w:r>
          </w:p>
          <w:p>
            <w:pPr>
              <w:pStyle w:val="0"/>
              <w:spacing w:before="200" w:line-rule="auto"/>
              <w:jc w:val="right"/>
            </w:pPr>
            <w:r>
              <w:rPr>
                <w:sz w:val="20"/>
              </w:rPr>
              <w:t xml:space="preserve">Костромской области</w:t>
            </w:r>
          </w:p>
          <w:p>
            <w:pPr>
              <w:pStyle w:val="0"/>
              <w:spacing w:before="200" w:line-rule="auto"/>
              <w:jc w:val="right"/>
            </w:pPr>
            <w:r>
              <w:rPr>
                <w:sz w:val="20"/>
              </w:rPr>
              <w:t xml:space="preserve">Иванову И.И.</w:t>
            </w:r>
          </w:p>
          <w:p>
            <w:pPr>
              <w:pStyle w:val="0"/>
              <w:spacing w:before="200" w:line-rule="auto"/>
              <w:jc w:val="right"/>
            </w:pPr>
            <w:r>
              <w:rPr>
                <w:sz w:val="20"/>
              </w:rPr>
              <w:t xml:space="preserve">от заведующего отделом</w:t>
            </w:r>
          </w:p>
          <w:p>
            <w:pPr>
              <w:pStyle w:val="0"/>
              <w:spacing w:before="200" w:line-rule="auto"/>
              <w:jc w:val="right"/>
            </w:pPr>
            <w:r>
              <w:rPr>
                <w:sz w:val="20"/>
              </w:rPr>
              <w:t xml:space="preserve">государственных унитарных предприятий</w:t>
            </w:r>
          </w:p>
          <w:p>
            <w:pPr>
              <w:pStyle w:val="0"/>
              <w:spacing w:before="200" w:line-rule="auto"/>
              <w:jc w:val="right"/>
            </w:pPr>
            <w:r>
              <w:rPr>
                <w:sz w:val="20"/>
              </w:rPr>
              <w:t xml:space="preserve">Петрова П.П.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УВЕДОМЛЕНИЕ</w:t>
            </w:r>
          </w:p>
          <w:p>
            <w:pPr>
              <w:pStyle w:val="0"/>
              <w:spacing w:before="200" w:line-rule="auto"/>
              <w:jc w:val="center"/>
            </w:pPr>
            <w:r>
              <w:rPr>
                <w:sz w:val="20"/>
              </w:rPr>
              <w:t xml:space="preserve">о возникновении личной заинтересованности при</w:t>
            </w:r>
          </w:p>
          <w:p>
            <w:pPr>
              <w:pStyle w:val="0"/>
              <w:spacing w:before="200" w:line-rule="auto"/>
              <w:jc w:val="center"/>
            </w:pPr>
            <w:r>
              <w:rPr>
                <w:sz w:val="20"/>
              </w:rPr>
              <w:t xml:space="preserve">исполнении должностных обязанностей, которая приводит</w:t>
            </w:r>
          </w:p>
          <w:p>
            <w:pPr>
              <w:pStyle w:val="0"/>
              <w:spacing w:before="200" w:line-rule="auto"/>
              <w:jc w:val="center"/>
            </w:pPr>
            <w:r>
              <w:rPr>
                <w:sz w:val="20"/>
              </w:rPr>
              <w:t xml:space="preserve">или может привести к конфликту интересов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p>
            <w:pPr>
              <w:pStyle w:val="0"/>
              <w:jc w:val="both"/>
            </w:pPr>
            <w:r>
              <w:rPr>
                <w:sz w:val="20"/>
              </w:rPr>
              <w:t xml:space="preserve">Сообщаю о возникновении у меня личной заинтересованности при исполнении должностных обязанностей, которая может привести к конфликту интересов.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Обстоятельства, являющиеся основанием для возникновения личной заинтересованности: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  <w:i w:val="on"/>
              </w:rPr>
              <w:t xml:space="preserve">моя дочь Петрова Л.П. является заместителем руководителя ГУП "Газовое хозяйство", которое осуществляет деятельность по поставкам газа в области. Осуществление контроля за деятельностью данного ГУП входит в круг моих должностных обязанностей.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Должностные обязанности, на исполнение которых может повлиять личная заинтересованность: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  <w:i w:val="on"/>
              </w:rPr>
              <w:t xml:space="preserve">объективная оценка деятельности предприятия при осуществлении контроля.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Предлагаемые меры по предотвращению или урегулированию конфликта интересов: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  <w:i w:val="on"/>
              </w:rPr>
              <w:t xml:space="preserve">исключить из моих должностных обязанностей функцию по осуществлению контроля за деятельностью ГУП "Газовое хозяйство".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Намереваюсь лично присутствовать на заседании комиссии по соблюдению требований к служебному поведению госслужащих министерства и урегулированию конфликта интересов при рассмотрении настоящего уведомления.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</w:r>
          </w:p>
          <w:tbl>
            <w:tblPr>
              <w:tblInd w:w="0" w:type="dxa"/>
              <w:tblW w:w="5000" w:type="pct"/>
              <w:tblBorders>
                <w:top w:val="single" w:sz="8"/>
                <w:left w:val="single" w:sz="8"/>
                <w:bottom w:val="single" w:sz="8"/>
                <w:right w:val="single" w:sz="8"/>
                <w:insideV w:val="single" w:sz="8"/>
                <w:insideH w:val="single" w:sz="8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5103"/>
              <w:gridCol w:w="5103"/>
            </w:tblGrid>
            <w:tr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</w:pPr>
                  <w:r>
                    <w:rPr>
                      <w:sz w:val="20"/>
                      <w:i w:val="on"/>
                    </w:rPr>
                    <w:t xml:space="preserve">15 июля 2024 г.</w:t>
                  </w:r>
                </w:p>
              </w:tc>
              <w:tc>
                <w:tcPr>
                  <w:tcW w:w="510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0"/>
                    <w:jc w:val="right"/>
                  </w:pPr>
                  <w:r>
                    <w:rPr>
                      <w:sz w:val="20"/>
                      <w:i w:val="on"/>
                    </w:rPr>
                    <w:t xml:space="preserve">(подпись) П.П. Петров</w:t>
                  </w:r>
                </w:p>
              </w:tc>
            </w:tr>
          </w:tbl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</w:pPr>
      <w:r>
        <w:rPr>
          <w:sz w:val="24"/>
          <w:b w:val="on"/>
        </w:rPr>
        <w:t xml:space="preserve">2.2. Как подать уведомление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Служащий подает уведомление представителю нанимателя в порядке, утвержденном в вашем органе.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Сотрудник, который принимает такое уведомление, должен зарегистрировать его и сделать отметку о принятии на копии.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нет возможности лично передать уведомление, то направьте его почтой, заказным письмом с уведомлением о вручении и описью вложения.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Такие правила установлены в </w:t>
      </w:r>
      <w:r>
        <w:rPr>
          <w:sz w:val="20"/>
        </w:rPr>
        <w:t xml:space="preserve">ч. 2 ст. 11</w:t>
      </w:r>
      <w:r>
        <w:rPr>
          <w:sz w:val="20"/>
        </w:rPr>
        <w:t xml:space="preserve"> Закона о противодействии коррупции, </w:t>
      </w:r>
      <w:r>
        <w:rPr>
          <w:sz w:val="20"/>
        </w:rPr>
        <w:t xml:space="preserve">пп. "б" п. 8</w:t>
      </w:r>
      <w:r>
        <w:rPr>
          <w:sz w:val="20"/>
        </w:rPr>
        <w:t xml:space="preserve"> Указа Президента РФ от 22.12.2015 N 650, </w:t>
      </w:r>
      <w:r>
        <w:rPr>
          <w:sz w:val="20"/>
        </w:rPr>
        <w:t xml:space="preserve">пп. "б" п. 16</w:t>
      </w:r>
      <w:r>
        <w:rPr>
          <w:sz w:val="20"/>
        </w:rPr>
        <w:t xml:space="preserve"> Положения о комиссиях по конфликту интересов.</w:t>
      </w:r>
    </w:p>
    <w:p>
      <w:pPr>
        <w:pStyle w:val="0"/>
        <w:jc w:val="both"/>
      </w:pPr>
      <w:r>
        <w:rPr>
          <w:sz w:val="30"/>
        </w:rPr>
      </w:r>
    </w:p>
    <w:bookmarkStart w:id="75" w:name="P75"/>
    <w:bookmarkEnd w:id="75"/>
    <w:p>
      <w:pPr>
        <w:pStyle w:val="0"/>
        <w:outlineLvl w:val="0"/>
      </w:pPr>
      <w:r>
        <w:rPr>
          <w:sz w:val="30"/>
          <w:b w:val="on"/>
        </w:rPr>
        <w:t xml:space="preserve">3. Как осуществляется проверка наличия конфликта интересов на государственной гражданской (муниципальной) службе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Проверка проводится на основании полученного от сотрудника уведомления о конфликте интересов. Предварительно его рассматривает отдел (должностное лицо) по профилактике коррупционных и иных правонарушений. После этого - комиссия по соблюдению требований к служебному поведению и урегулированию конфликта интересов.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</w:pPr>
      <w:r>
        <w:rPr>
          <w:sz w:val="24"/>
          <w:b w:val="on"/>
        </w:rPr>
        <w:t xml:space="preserve">3.1. Как проводится предварительное рассмотрение уведомления о конфликте интересов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Отдел по профилактике коррупционных и иных правонарушений (уполномоченное должностное лицо) рассматривает уведомление служащего.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Руководитель госоргана или его заместитель (специально на то уполномоченный) вправе направлять запросы (например, в заинтересованную организацию), использовать </w:t>
      </w:r>
      <w:r>
        <w:rPr>
          <w:sz w:val="20"/>
        </w:rPr>
        <w:t xml:space="preserve">систему "Посейдон"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По итогам рассмотрения уведомления составляется мотивированное заключение. В нем указывают, например, полученные по запросу сведения. Заключение вместе с уведомлением и другими материалами передают председателю комиссии по соблюдению требований к служебному поведению и урегулированию конфликта интересов. Сроки представления такие: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в течение 45 дней со дня поступления уведомления, если направлялись запросы. Срок может быть продлен, но не более чем на 30 дней;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2"/>
        </w:numPr>
      </w:pPr>
      <w:r>
        <w:rPr>
          <w:sz w:val="20"/>
        </w:rPr>
        <w:t xml:space="preserve">в течение семи рабочих дней со дня поступления уведомления, если запросов не было.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Такой порядок следует из </w:t>
      </w:r>
      <w:r>
        <w:rPr>
          <w:sz w:val="20"/>
        </w:rPr>
        <w:t xml:space="preserve">п. п. 17.4</w:t>
      </w:r>
      <w:r>
        <w:rPr>
          <w:sz w:val="20"/>
        </w:rPr>
        <w:t xml:space="preserve">, </w:t>
      </w:r>
      <w:r>
        <w:rPr>
          <w:sz w:val="20"/>
        </w:rPr>
        <w:t xml:space="preserve">17.5</w:t>
      </w:r>
      <w:r>
        <w:rPr>
          <w:sz w:val="20"/>
        </w:rPr>
        <w:t xml:space="preserve">, </w:t>
      </w:r>
      <w:r>
        <w:rPr>
          <w:sz w:val="20"/>
        </w:rPr>
        <w:t xml:space="preserve">17.6</w:t>
      </w:r>
      <w:r>
        <w:rPr>
          <w:sz w:val="20"/>
        </w:rPr>
        <w:t xml:space="preserve"> Положения о комиссиях по конфликту интересов.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</w:pPr>
      <w:r>
        <w:rPr>
          <w:sz w:val="24"/>
          <w:b w:val="on"/>
        </w:rPr>
        <w:t xml:space="preserve">3.2. Как рассматривает уведомление и материалы комиссия по конфликту интересов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Комиссия по конфликту интересов должна рассмотреть уведомление и материалы предварительной проверки не позднее 20 дней с даты их получения (</w:t>
      </w:r>
      <w:r>
        <w:rPr>
          <w:sz w:val="20"/>
        </w:rPr>
        <w:t xml:space="preserve">п. 18</w:t>
      </w:r>
      <w:r>
        <w:rPr>
          <w:sz w:val="20"/>
        </w:rPr>
        <w:t xml:space="preserve"> Положения о комиссиях по конфликту интересов).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80"/>
        <w:gridCol w:w="420"/>
        <w:gridCol w:w="9427"/>
        <w:gridCol w:w="180"/>
      </w:tblGrid>
      <w:tr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420" w:type="dxa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r>
              <w:drawing>
                <wp:inline distT="0" distB="0" distL="0" distR="0">
                  <wp:extent cx="152400" cy="152400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См. также: </w:t>
            </w:r>
            <w:r>
              <w:rPr>
                <w:sz w:val="20"/>
              </w:rPr>
              <w:t xml:space="preserve">Как работает комиссия по соблюдению требований к служебному поведению и урегулированию конфликта интересов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  <w:t xml:space="preserve">По результатам комиссия выносит решение: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конфликт интересов есть или может возникнуть. Тогда комиссия рекомендует госслужащему и (или) руководителю госоргана принять меры, чтобы его урегулировать или не допустить;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госслужащий не соблюдал требования об урегулировании конфликта интересов. В этом случае комиссия рекомендует применить к госслужащему меры ответственности. В определенных ситуациях он освобождается от дисциплинарной ответственности;</w:t>
      </w:r>
    </w:p>
    <w:p>
      <w:pPr>
        <w:pStyle w:val="0"/>
        <w:spacing w:before="200" w:line-rule="auto"/>
        <w:ind w:firstLine="-227" w:left="540"/>
        <w:jc w:val="both"/>
        <w:numPr>
          <w:ilvl w:val="0"/>
          <w:numId w:val="3"/>
        </w:numPr>
      </w:pPr>
      <w:r>
        <w:rPr>
          <w:sz w:val="20"/>
        </w:rPr>
        <w:t xml:space="preserve">конфликта интересов нет.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Все решения оформляют протоколом, который подписывают члены комиссии.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Такой порядок следует из </w:t>
      </w:r>
      <w:r>
        <w:rPr>
          <w:sz w:val="20"/>
        </w:rPr>
        <w:t xml:space="preserve">п. п. 18</w:t>
      </w:r>
      <w:r>
        <w:rPr>
          <w:sz w:val="20"/>
        </w:rPr>
        <w:t xml:space="preserve">, </w:t>
      </w:r>
      <w:r>
        <w:rPr>
          <w:sz w:val="20"/>
        </w:rPr>
        <w:t xml:space="preserve">20</w:t>
      </w:r>
      <w:r>
        <w:rPr>
          <w:sz w:val="20"/>
        </w:rPr>
        <w:t xml:space="preserve">, </w:t>
      </w:r>
      <w:r>
        <w:rPr>
          <w:sz w:val="20"/>
        </w:rPr>
        <w:t xml:space="preserve">23</w:t>
      </w:r>
      <w:r>
        <w:rPr>
          <w:sz w:val="20"/>
        </w:rPr>
        <w:t xml:space="preserve">, </w:t>
      </w:r>
      <w:r>
        <w:rPr>
          <w:sz w:val="20"/>
        </w:rPr>
        <w:t xml:space="preserve">25.3</w:t>
      </w:r>
      <w:r>
        <w:rPr>
          <w:sz w:val="20"/>
        </w:rPr>
        <w:t xml:space="preserve">, </w:t>
      </w:r>
      <w:r>
        <w:rPr>
          <w:sz w:val="20"/>
        </w:rPr>
        <w:t xml:space="preserve">27</w:t>
      </w:r>
      <w:r>
        <w:rPr>
          <w:sz w:val="20"/>
        </w:rPr>
        <w:t xml:space="preserve">, </w:t>
      </w:r>
      <w:r>
        <w:rPr>
          <w:sz w:val="20"/>
        </w:rPr>
        <w:t xml:space="preserve">30</w:t>
      </w:r>
      <w:r>
        <w:rPr>
          <w:sz w:val="20"/>
        </w:rPr>
        <w:t xml:space="preserve"> Положения о комиссиях по конфликту интересов, </w:t>
      </w:r>
      <w:r>
        <w:rPr>
          <w:sz w:val="20"/>
        </w:rPr>
        <w:t xml:space="preserve">ч. 3 ст. 13</w:t>
      </w:r>
      <w:r>
        <w:rPr>
          <w:sz w:val="20"/>
        </w:rPr>
        <w:t xml:space="preserve"> Закона о противодействии коррупции, </w:t>
      </w:r>
      <w:r>
        <w:rPr>
          <w:sz w:val="20"/>
        </w:rPr>
        <w:t xml:space="preserve">ч. 2 ст. 59.1</w:t>
      </w:r>
      <w:r>
        <w:rPr>
          <w:sz w:val="20"/>
        </w:rPr>
        <w:t xml:space="preserve"> Закона о государственной гражданской службе, </w:t>
      </w:r>
      <w:r>
        <w:rPr>
          <w:sz w:val="20"/>
        </w:rPr>
        <w:t xml:space="preserve">ч. 1.1 ст. 27.1</w:t>
      </w:r>
      <w:r>
        <w:rPr>
          <w:sz w:val="20"/>
        </w:rPr>
        <w:t xml:space="preserve"> Закона о муниципальной службе.</w:t>
      </w:r>
    </w:p>
    <w:p>
      <w:pPr>
        <w:pStyle w:val="0"/>
        <w:jc w:val="both"/>
      </w:pPr>
      <w:r>
        <w:rPr>
          <w:sz w:val="30"/>
        </w:rPr>
      </w:r>
    </w:p>
    <w:bookmarkStart w:id="98" w:name="P98"/>
    <w:bookmarkEnd w:id="98"/>
    <w:p>
      <w:pPr>
        <w:pStyle w:val="0"/>
        <w:outlineLvl w:val="0"/>
      </w:pPr>
      <w:r>
        <w:rPr>
          <w:sz w:val="30"/>
          <w:b w:val="on"/>
        </w:rPr>
        <w:t xml:space="preserve">4. Какие меры нужно принять, чтобы урегулировать конфликт интересов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Меры принимают сам служащий и представитель нанимателя. Их перечень не исчерпывающий и зависит от конкретной ситуации.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Со стороны служащего может быть, например: самоотвод, отказ от выгоды, которая может стать причиной конфликта интересов, передача ценных бумаг (долей, паев) в доверительное </w:t>
      </w:r>
      <w:r>
        <w:rPr>
          <w:sz w:val="20"/>
        </w:rPr>
        <w:t xml:space="preserve">управление</w:t>
      </w:r>
      <w:r>
        <w:rPr>
          <w:sz w:val="20"/>
        </w:rPr>
        <w:t xml:space="preserve">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Представитель нанимателя может принять меры, которые рекомендовала комиссия, например: перевод служащего на другую должность (в другое подразделение), изменение должностных (служебных) обязанностей или любые другие меры, чтобы исчерпать конфликт интересов.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Также представитель нанимателя вправе отстранить (с сохранением денежного содержания) служащего от работы на период до разрешения конфликтной ситуации.</w:t>
      </w:r>
    </w:p>
    <w:p>
      <w:pPr>
        <w:pStyle w:val="0"/>
        <w:jc w:val="both"/>
      </w:pPr>
      <w:r>
        <w:rPr>
          <w:sz w:val="20"/>
        </w:rPr>
      </w:r>
    </w:p>
    <w:tbl>
      <w:tblPr>
        <w:jc w:val="center"/>
        <w:tblInd w:w="0" w:type="dxa"/>
        <w:tblW w:w="10597" w:type="dxa"/>
        <w:tblBorders>
          <w:top w:val="single" w:sz="6"/>
          <w:left w:val="single" w:sz="6"/>
          <w:bottom w:val="single" w:sz="6"/>
          <w:right w:val="single" w:sz="6"/>
          <w:insideV w:val="single" w:sz="6"/>
          <w:insideH w:val="single" w:sz="6"/>
        </w:tblBorders>
      </w:tblPr>
      <w:tblGrid>
        <w:gridCol w:w="10597"/>
      </w:tblGrid>
      <w:tr>
        <w:tc>
          <w:tcPr>
            <w:tcW w:w="10597" w:type="dxa"/>
            <w:tcMar>
              <w:top w:w="195" w:type="dxa"/>
              <w:left w:w="195" w:type="dxa"/>
              <w:bottom w:w="195" w:type="dxa"/>
              <w:right w:w="195" w:type="dxa"/>
            </w:tcMar>
            <w:shd w:val="clear"/>
            <w:tcBorders>
              <w:top w:val="single" w:sz="6"/>
              <w:left w:val="single" w:sz="6"/>
              <w:bottom w:val="single" w:sz="6"/>
              <w:right w:val="single" w:sz="6"/>
            </w:tcBorders>
          </w:tcPr>
          <w:bookmarkStart w:id="104" w:name="P104"/>
          <w:bookmarkEnd w:id="104"/>
          <w:p>
            <w:pPr>
              <w:pStyle w:val="0"/>
              <w:jc w:val="both"/>
            </w:pPr>
            <w:r>
              <w:rPr>
                <w:sz w:val="20"/>
                <w:u w:val="single"/>
              </w:rPr>
              <w:t xml:space="preserve">Пример предотвращения конфликта интересов</w:t>
            </w:r>
          </w:p>
          <w:p>
            <w:pPr>
              <w:pStyle w:val="0"/>
              <w:spacing w:before="200" w:line-rule="auto"/>
              <w:jc w:val="both"/>
            </w:pPr>
            <w:r>
              <w:rPr>
                <w:sz w:val="20"/>
              </w:rPr>
              <w:t xml:space="preserve">Представитель нанимателя переводит госслужащего в отдел с повышением должности. В круг его обязанностей будет входить контроль коммерческой организации, учредителем которой оказался его брат. Комиссия установила, что конфликт есть и рекомендовала не назначать госслужащего. Госслужащий отказался от перевода.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  <w:t xml:space="preserve">Если служащий отказывается принять меры, например не подписывает соглашение об изменении контракта или отказывается от перевода на другую должность, то увольте его в связи с утратой доверия. В противном случае уволят руководителя за то, что он не принял мер по урегулированию конфликта интересов.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Учтите: служащий, его руководитель освобождаются от ответственности, если необходимые меры не приняты из-за не зависящих от них </w:t>
      </w:r>
      <w:r>
        <w:rPr>
          <w:sz w:val="20"/>
        </w:rPr>
        <w:t xml:space="preserve">обстоятельств</w:t>
      </w:r>
      <w:r>
        <w:rPr>
          <w:sz w:val="20"/>
        </w:rPr>
        <w:t xml:space="preserve">. Причинно-следственная связь между возникновением таких обстоятельств и невозможностью принять меры для урегулирования конфликта интересов устанавливается в определенном порядке. В течение месяца со дня прекращения действия этих обстоятельств служащий, его руководитель должны принять указанные меры, если иное не установлено федеральными законами.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Эти выводы следуют из </w:t>
      </w:r>
      <w:r>
        <w:rPr>
          <w:sz w:val="20"/>
        </w:rPr>
        <w:t xml:space="preserve">ч. 3</w:t>
      </w:r>
      <w:r>
        <w:rPr>
          <w:sz w:val="20"/>
        </w:rPr>
        <w:t xml:space="preserve">, </w:t>
      </w:r>
      <w:r>
        <w:rPr>
          <w:sz w:val="20"/>
        </w:rPr>
        <w:t xml:space="preserve">4</w:t>
      </w:r>
      <w:r>
        <w:rPr>
          <w:sz w:val="20"/>
        </w:rPr>
        <w:t xml:space="preserve">, </w:t>
      </w:r>
      <w:r>
        <w:rPr>
          <w:sz w:val="20"/>
        </w:rPr>
        <w:t xml:space="preserve">5</w:t>
      </w:r>
      <w:r>
        <w:rPr>
          <w:sz w:val="20"/>
        </w:rPr>
        <w:t xml:space="preserve">, </w:t>
      </w:r>
      <w:r>
        <w:rPr>
          <w:sz w:val="20"/>
        </w:rPr>
        <w:t xml:space="preserve">6 ст. 11</w:t>
      </w:r>
      <w:r>
        <w:rPr>
          <w:sz w:val="20"/>
        </w:rPr>
        <w:t xml:space="preserve">, </w:t>
      </w:r>
      <w:r>
        <w:rPr>
          <w:sz w:val="20"/>
        </w:rPr>
        <w:t xml:space="preserve">ч. 3</w:t>
      </w:r>
      <w:r>
        <w:rPr>
          <w:sz w:val="20"/>
        </w:rPr>
        <w:t xml:space="preserve"> - </w:t>
      </w:r>
      <w:r>
        <w:rPr>
          <w:sz w:val="20"/>
        </w:rPr>
        <w:t xml:space="preserve">6 ст. 13</w:t>
      </w:r>
      <w:r>
        <w:rPr>
          <w:sz w:val="20"/>
        </w:rPr>
        <w:t xml:space="preserve"> Закона о противодействии коррупции, </w:t>
      </w:r>
      <w:r>
        <w:rPr>
          <w:sz w:val="20"/>
        </w:rPr>
        <w:t xml:space="preserve">ч. 3.1</w:t>
      </w:r>
      <w:r>
        <w:rPr>
          <w:sz w:val="20"/>
        </w:rPr>
        <w:t xml:space="preserve">, </w:t>
      </w:r>
      <w:r>
        <w:rPr>
          <w:sz w:val="20"/>
        </w:rPr>
        <w:t xml:space="preserve">3.2</w:t>
      </w:r>
      <w:r>
        <w:rPr>
          <w:sz w:val="20"/>
        </w:rPr>
        <w:t xml:space="preserve">, </w:t>
      </w:r>
      <w:r>
        <w:rPr>
          <w:sz w:val="20"/>
        </w:rPr>
        <w:t xml:space="preserve">4</w:t>
      </w:r>
      <w:r>
        <w:rPr>
          <w:sz w:val="20"/>
        </w:rPr>
        <w:t xml:space="preserve">, </w:t>
      </w:r>
      <w:r>
        <w:rPr>
          <w:sz w:val="20"/>
        </w:rPr>
        <w:t xml:space="preserve">4.1 ст. 19</w:t>
      </w:r>
      <w:r>
        <w:rPr>
          <w:sz w:val="20"/>
        </w:rPr>
        <w:t xml:space="preserve">, </w:t>
      </w:r>
      <w:r>
        <w:rPr>
          <w:sz w:val="20"/>
        </w:rPr>
        <w:t xml:space="preserve">ч. 2</w:t>
      </w:r>
      <w:r>
        <w:rPr>
          <w:sz w:val="20"/>
        </w:rPr>
        <w:t xml:space="preserve">, </w:t>
      </w:r>
      <w:r>
        <w:rPr>
          <w:sz w:val="20"/>
        </w:rPr>
        <w:t xml:space="preserve">3</w:t>
      </w:r>
      <w:r>
        <w:rPr>
          <w:sz w:val="20"/>
        </w:rPr>
        <w:t xml:space="preserve">, </w:t>
      </w:r>
      <w:r>
        <w:rPr>
          <w:sz w:val="20"/>
        </w:rPr>
        <w:t xml:space="preserve">4 ст. 32</w:t>
      </w:r>
      <w:r>
        <w:rPr>
          <w:sz w:val="20"/>
        </w:rPr>
        <w:t xml:space="preserve">, </w:t>
      </w:r>
      <w:r>
        <w:rPr>
          <w:sz w:val="20"/>
        </w:rPr>
        <w:t xml:space="preserve">ч. 2 ст. 59.1</w:t>
      </w:r>
      <w:r>
        <w:rPr>
          <w:sz w:val="20"/>
        </w:rPr>
        <w:t xml:space="preserve"> Закона о государственной гражданской службе, </w:t>
      </w:r>
      <w:r>
        <w:rPr>
          <w:sz w:val="20"/>
        </w:rPr>
        <w:t xml:space="preserve">ч. 2.1</w:t>
      </w:r>
      <w:r>
        <w:rPr>
          <w:sz w:val="20"/>
        </w:rPr>
        <w:t xml:space="preserve"> - </w:t>
      </w:r>
      <w:r>
        <w:rPr>
          <w:sz w:val="20"/>
        </w:rPr>
        <w:t xml:space="preserve">2.3</w:t>
      </w:r>
      <w:r>
        <w:rPr>
          <w:sz w:val="20"/>
        </w:rPr>
        <w:t xml:space="preserve">, </w:t>
      </w:r>
      <w:r>
        <w:rPr>
          <w:sz w:val="20"/>
        </w:rPr>
        <w:t xml:space="preserve">3</w:t>
      </w:r>
      <w:r>
        <w:rPr>
          <w:sz w:val="20"/>
        </w:rPr>
        <w:t xml:space="preserve">, </w:t>
      </w:r>
      <w:r>
        <w:rPr>
          <w:sz w:val="20"/>
        </w:rPr>
        <w:t xml:space="preserve">3.1 ст. 14.1</w:t>
      </w:r>
      <w:r>
        <w:rPr>
          <w:sz w:val="20"/>
        </w:rPr>
        <w:t xml:space="preserve">, </w:t>
      </w:r>
      <w:r>
        <w:rPr>
          <w:sz w:val="20"/>
        </w:rPr>
        <w:t xml:space="preserve">ч. 1.1 ст. 27.1</w:t>
      </w:r>
      <w:r>
        <w:rPr>
          <w:sz w:val="20"/>
        </w:rPr>
        <w:t xml:space="preserve"> Закона о муниципальной службе.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3"/>
      <w:headerReference w:type="first" r:id="rId3"/>
      <w:footerReference w:type="default" r:id="rId4"/>
      <w:footerReference w:type="first" r:id="rId4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Готовое решение: Как урегулировать конфликт интересов на государственной гражданской (муниципальной) службе</w:t>
            <w:br/>
            <w:t>(Консультант...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03.05.2024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1" w15:restartNumberingAfterBreak="0">
    <w:multiLevelType w:val="multilevel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2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abstractNum w:abstractNumId="3" w15:restartNumberingAfterBreak="0">
    <w:multiLevelType w:val="multilevel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numbering" Target="numbering.xml"/>
	<Relationship Id="rId3" Type="http://schemas.openxmlformats.org/officeDocument/2006/relationships/header" Target="header1.xml"/>
	<Relationship Id="rId4" Type="http://schemas.openxmlformats.org/officeDocument/2006/relationships/footer" Target="footer1.xml"/>
	<Relationship Id="rId5" Type="http://schemas.openxmlformats.org/officeDocument/2006/relationships/image" Target="media/image1.png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Готовое решение: Как урегулировать конфликт интересов на государственной гражданской (муниципальной) службе
(КонсультантПлюс, 2024)</dc:title>
  <dcterms:created xsi:type="dcterms:W3CDTF">2024-05-03T04:05:51Z</dcterms:created>
</cp:coreProperties>
</file>